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A1" w:rsidRPr="00F23EA4" w:rsidRDefault="00364EDB" w:rsidP="0040044F">
      <w:pPr>
        <w:pStyle w:val="Titre"/>
        <w:pBdr>
          <w:top w:val="single" w:sz="4" w:space="1" w:color="auto"/>
          <w:left w:val="single" w:sz="4" w:space="4" w:color="auto"/>
          <w:bottom w:val="single" w:sz="4" w:space="1" w:color="auto"/>
          <w:right w:val="single" w:sz="4" w:space="4" w:color="auto"/>
        </w:pBdr>
        <w:jc w:val="center"/>
        <w:rPr>
          <w:b/>
          <w:color w:val="00B050"/>
          <w:sz w:val="44"/>
          <w:szCs w:val="44"/>
        </w:rPr>
      </w:pPr>
      <w:r w:rsidRPr="00F23EA4">
        <w:rPr>
          <w:b/>
          <w:color w:val="00B050"/>
          <w:sz w:val="44"/>
          <w:szCs w:val="44"/>
        </w:rPr>
        <w:t>Plan de</w:t>
      </w:r>
      <w:r w:rsidR="00D9577B" w:rsidRPr="00F23EA4">
        <w:rPr>
          <w:b/>
          <w:color w:val="00B050"/>
          <w:sz w:val="44"/>
          <w:szCs w:val="44"/>
        </w:rPr>
        <w:t xml:space="preserve"> contingence</w:t>
      </w:r>
      <w:r w:rsidR="00206A7A" w:rsidRPr="00F23EA4">
        <w:rPr>
          <w:b/>
          <w:color w:val="00B050"/>
          <w:sz w:val="44"/>
          <w:szCs w:val="44"/>
        </w:rPr>
        <w:t xml:space="preserve"> </w:t>
      </w:r>
      <w:r w:rsidRPr="00F23EA4">
        <w:rPr>
          <w:b/>
          <w:color w:val="00B050"/>
          <w:sz w:val="44"/>
          <w:szCs w:val="44"/>
        </w:rPr>
        <w:t>conformément à l'article 28</w:t>
      </w:r>
      <w:r w:rsidR="00D9577B" w:rsidRPr="00F23EA4">
        <w:rPr>
          <w:b/>
          <w:color w:val="00B050"/>
          <w:sz w:val="44"/>
          <w:szCs w:val="44"/>
        </w:rPr>
        <w:t>(2)</w:t>
      </w:r>
      <w:r w:rsidR="00206A7A" w:rsidRPr="00F23EA4">
        <w:rPr>
          <w:b/>
          <w:color w:val="00B050"/>
          <w:sz w:val="44"/>
          <w:szCs w:val="44"/>
        </w:rPr>
        <w:t xml:space="preserve"> de la</w:t>
      </w:r>
      <w:r w:rsidRPr="00F23EA4">
        <w:rPr>
          <w:b/>
          <w:color w:val="00B050"/>
          <w:sz w:val="44"/>
          <w:szCs w:val="44"/>
        </w:rPr>
        <w:t xml:space="preserve"> B</w:t>
      </w:r>
      <w:r w:rsidR="00D9577B" w:rsidRPr="00F23EA4">
        <w:rPr>
          <w:b/>
          <w:color w:val="00B050"/>
          <w:sz w:val="44"/>
          <w:szCs w:val="44"/>
        </w:rPr>
        <w:t>MR</w:t>
      </w:r>
      <w:r w:rsidRPr="00F23EA4">
        <w:rPr>
          <w:b/>
          <w:color w:val="00B050"/>
          <w:sz w:val="44"/>
          <w:szCs w:val="44"/>
        </w:rPr>
        <w:t xml:space="preserve"> e</w:t>
      </w:r>
      <w:r w:rsidR="00D9577B" w:rsidRPr="00F23EA4">
        <w:rPr>
          <w:b/>
          <w:color w:val="00B050"/>
          <w:sz w:val="44"/>
          <w:szCs w:val="44"/>
        </w:rPr>
        <w:t>n cas de changement d'indice</w:t>
      </w:r>
      <w:r w:rsidRPr="00F23EA4">
        <w:rPr>
          <w:b/>
          <w:color w:val="00B050"/>
          <w:sz w:val="44"/>
          <w:szCs w:val="44"/>
        </w:rPr>
        <w:t xml:space="preserve"> de référence ou de cessation</w:t>
      </w:r>
    </w:p>
    <w:p w:rsidR="00AA6388" w:rsidRPr="00F23EA4" w:rsidRDefault="00AA6388" w:rsidP="00665840">
      <w:pPr>
        <w:jc w:val="both"/>
      </w:pPr>
    </w:p>
    <w:p w:rsidR="00197CA1" w:rsidRPr="00F23EA4" w:rsidRDefault="00E74E47" w:rsidP="003C0FEB">
      <w:pPr>
        <w:autoSpaceDE w:val="0"/>
        <w:autoSpaceDN w:val="0"/>
        <w:adjustRightInd w:val="0"/>
        <w:spacing w:after="0" w:line="240" w:lineRule="auto"/>
        <w:jc w:val="both"/>
        <w:rPr>
          <w:sz w:val="21"/>
          <w:szCs w:val="21"/>
        </w:rPr>
      </w:pPr>
      <w:r w:rsidRPr="00F23EA4">
        <w:rPr>
          <w:sz w:val="21"/>
          <w:szCs w:val="21"/>
        </w:rPr>
        <w:t>En tant qu’entité surveillée et utilisateur d’indices de référence dans l’EEA, et afin d’être en conformité avec l’article 28(2) de la (BMR)</w:t>
      </w:r>
      <w:r w:rsidR="00AA6388" w:rsidRPr="00F23EA4">
        <w:rPr>
          <w:rStyle w:val="Appelnotedebasdep"/>
          <w:sz w:val="21"/>
          <w:szCs w:val="21"/>
          <w:lang w:val="en-US"/>
        </w:rPr>
        <w:footnoteReference w:id="1"/>
      </w:r>
      <w:r w:rsidR="00364EDB" w:rsidRPr="00F23EA4">
        <w:t xml:space="preserve">, </w:t>
      </w:r>
      <w:r w:rsidRPr="00F23EA4">
        <w:rPr>
          <w:sz w:val="21"/>
          <w:szCs w:val="21"/>
        </w:rPr>
        <w:t>le Groupe CAL&amp;F (Crédit Agricole Leasing &amp; Factoring) produit et maintien des plans de contingence robustes exposant les actions détaillées à entreprendre dans le cas où un indice utilisé :</w:t>
      </w:r>
    </w:p>
    <w:p w:rsidR="00C41AA1" w:rsidRPr="00F23EA4" w:rsidRDefault="003C0FEB" w:rsidP="00C41AA1">
      <w:pPr>
        <w:pStyle w:val="Paragraphedeliste"/>
        <w:numPr>
          <w:ilvl w:val="0"/>
          <w:numId w:val="14"/>
        </w:numPr>
        <w:autoSpaceDE w:val="0"/>
        <w:autoSpaceDN w:val="0"/>
        <w:adjustRightInd w:val="0"/>
        <w:spacing w:after="0" w:line="240" w:lineRule="auto"/>
        <w:jc w:val="both"/>
        <w:rPr>
          <w:sz w:val="21"/>
          <w:szCs w:val="21"/>
        </w:rPr>
      </w:pPr>
      <w:r w:rsidRPr="00F23EA4">
        <w:rPr>
          <w:b/>
          <w:sz w:val="21"/>
          <w:szCs w:val="21"/>
        </w:rPr>
        <w:t>Subit des modifications « substantielles »</w:t>
      </w:r>
      <w:r w:rsidRPr="00F23EA4">
        <w:rPr>
          <w:sz w:val="21"/>
          <w:szCs w:val="21"/>
        </w:rPr>
        <w:t>, par exemple lorsque l’administrateur de l’indice décide d’implémenter une nouvelle méthodologie résultant dans un changement substantiel de l’intérêt sous-jacent que l’indice tend à mesurer ;</w:t>
      </w:r>
    </w:p>
    <w:p w:rsidR="00C41AA1" w:rsidRPr="00F23EA4" w:rsidRDefault="00C41AA1" w:rsidP="00C41AA1">
      <w:pPr>
        <w:pStyle w:val="Paragraphedeliste"/>
        <w:numPr>
          <w:ilvl w:val="0"/>
          <w:numId w:val="14"/>
        </w:numPr>
        <w:autoSpaceDE w:val="0"/>
        <w:autoSpaceDN w:val="0"/>
        <w:adjustRightInd w:val="0"/>
        <w:spacing w:after="0" w:line="240" w:lineRule="auto"/>
        <w:jc w:val="both"/>
        <w:rPr>
          <w:sz w:val="21"/>
          <w:szCs w:val="21"/>
        </w:rPr>
      </w:pPr>
      <w:r w:rsidRPr="00F23EA4">
        <w:rPr>
          <w:b/>
          <w:sz w:val="21"/>
          <w:szCs w:val="21"/>
        </w:rPr>
        <w:t xml:space="preserve">Cesse d’exister ou d’être publié par son administrateur </w:t>
      </w:r>
      <w:r w:rsidRPr="00F23EA4">
        <w:rPr>
          <w:sz w:val="21"/>
          <w:szCs w:val="21"/>
        </w:rPr>
        <w:t>(permanent ou temporaire) ;</w:t>
      </w:r>
    </w:p>
    <w:p w:rsidR="00C41AA1" w:rsidRPr="00F23EA4" w:rsidRDefault="00C41AA1" w:rsidP="00C41AA1">
      <w:pPr>
        <w:pStyle w:val="Paragraphedeliste"/>
        <w:numPr>
          <w:ilvl w:val="0"/>
          <w:numId w:val="14"/>
        </w:numPr>
        <w:autoSpaceDE w:val="0"/>
        <w:autoSpaceDN w:val="0"/>
        <w:adjustRightInd w:val="0"/>
        <w:spacing w:after="0" w:line="240" w:lineRule="auto"/>
        <w:jc w:val="both"/>
        <w:rPr>
          <w:sz w:val="21"/>
          <w:szCs w:val="21"/>
        </w:rPr>
      </w:pPr>
      <w:r w:rsidRPr="00F23EA4">
        <w:rPr>
          <w:b/>
          <w:sz w:val="21"/>
          <w:szCs w:val="21"/>
        </w:rPr>
        <w:t>N’a pas été autorisé</w:t>
      </w:r>
      <w:r w:rsidRPr="00F23EA4">
        <w:rPr>
          <w:sz w:val="21"/>
          <w:szCs w:val="21"/>
        </w:rPr>
        <w:t xml:space="preserve"> (c’est-à-dire n’a pas été inscrit sur le registre de l’ESMA au titre de la BMR) :</w:t>
      </w:r>
    </w:p>
    <w:p w:rsidR="00C41AA1" w:rsidRPr="00F23EA4" w:rsidRDefault="00C41AA1" w:rsidP="00C41AA1">
      <w:pPr>
        <w:pStyle w:val="Paragraphedeliste"/>
        <w:numPr>
          <w:ilvl w:val="1"/>
          <w:numId w:val="14"/>
        </w:numPr>
        <w:autoSpaceDE w:val="0"/>
        <w:autoSpaceDN w:val="0"/>
        <w:adjustRightInd w:val="0"/>
        <w:spacing w:after="0" w:line="240" w:lineRule="auto"/>
        <w:jc w:val="both"/>
        <w:rPr>
          <w:b/>
          <w:sz w:val="21"/>
          <w:szCs w:val="21"/>
        </w:rPr>
      </w:pPr>
      <w:r w:rsidRPr="00F23EA4">
        <w:rPr>
          <w:b/>
          <w:sz w:val="21"/>
          <w:szCs w:val="21"/>
        </w:rPr>
        <w:t>Avant le 01/01/2020 pour les indices non critiques administrés par un administrateur de l’EEA ;</w:t>
      </w:r>
    </w:p>
    <w:p w:rsidR="00C41AA1" w:rsidRPr="00F23EA4" w:rsidRDefault="00C41AA1" w:rsidP="00C41AA1">
      <w:pPr>
        <w:pStyle w:val="Paragraphedeliste"/>
        <w:numPr>
          <w:ilvl w:val="1"/>
          <w:numId w:val="14"/>
        </w:numPr>
        <w:autoSpaceDE w:val="0"/>
        <w:autoSpaceDN w:val="0"/>
        <w:adjustRightInd w:val="0"/>
        <w:spacing w:after="0" w:line="240" w:lineRule="auto"/>
        <w:jc w:val="both"/>
        <w:rPr>
          <w:sz w:val="21"/>
          <w:szCs w:val="21"/>
        </w:rPr>
      </w:pPr>
      <w:r w:rsidRPr="00F23EA4">
        <w:rPr>
          <w:b/>
          <w:sz w:val="21"/>
          <w:szCs w:val="21"/>
        </w:rPr>
        <w:t xml:space="preserve">Avant le 01/01/2022 pour les indices critiques </w:t>
      </w:r>
      <w:r w:rsidR="00506E79" w:rsidRPr="00F23EA4">
        <w:rPr>
          <w:b/>
          <w:sz w:val="21"/>
          <w:szCs w:val="21"/>
        </w:rPr>
        <w:t>et les indices de pays tiers ;</w:t>
      </w:r>
    </w:p>
    <w:p w:rsidR="00C41AA1" w:rsidRPr="00F23EA4" w:rsidRDefault="00C41AA1" w:rsidP="00C41AA1">
      <w:pPr>
        <w:pStyle w:val="Paragraphedeliste"/>
        <w:numPr>
          <w:ilvl w:val="0"/>
          <w:numId w:val="14"/>
        </w:numPr>
        <w:autoSpaceDE w:val="0"/>
        <w:autoSpaceDN w:val="0"/>
        <w:adjustRightInd w:val="0"/>
        <w:spacing w:after="0" w:line="240" w:lineRule="auto"/>
        <w:jc w:val="both"/>
        <w:rPr>
          <w:sz w:val="21"/>
          <w:szCs w:val="21"/>
        </w:rPr>
      </w:pPr>
      <w:r w:rsidRPr="00F23EA4">
        <w:rPr>
          <w:b/>
          <w:sz w:val="21"/>
          <w:szCs w:val="21"/>
        </w:rPr>
        <w:t>A été retiré de la liste des administrateurs et indices autorisés</w:t>
      </w:r>
      <w:r w:rsidRPr="00F23EA4">
        <w:rPr>
          <w:sz w:val="21"/>
          <w:szCs w:val="21"/>
        </w:rPr>
        <w:t xml:space="preserve"> (c’est-à-dire du registre des Administrateurs et des indices de référence de l’ESMA).</w:t>
      </w:r>
    </w:p>
    <w:p w:rsidR="005F6452" w:rsidRPr="00F23EA4" w:rsidRDefault="005F6452">
      <w:pPr>
        <w:jc w:val="both"/>
        <w:rPr>
          <w:sz w:val="21"/>
          <w:szCs w:val="21"/>
        </w:rPr>
      </w:pPr>
    </w:p>
    <w:p w:rsidR="00197CA1" w:rsidRPr="00F23EA4" w:rsidRDefault="00364EDB">
      <w:pPr>
        <w:jc w:val="both"/>
        <w:rPr>
          <w:sz w:val="21"/>
          <w:szCs w:val="21"/>
        </w:rPr>
      </w:pPr>
      <w:r w:rsidRPr="00F23EA4">
        <w:rPr>
          <w:sz w:val="21"/>
          <w:szCs w:val="21"/>
        </w:rPr>
        <w:t xml:space="preserve">Ces plans </w:t>
      </w:r>
      <w:r w:rsidR="00C41AA1" w:rsidRPr="00F23EA4">
        <w:rPr>
          <w:sz w:val="21"/>
          <w:szCs w:val="21"/>
        </w:rPr>
        <w:t>de contingence</w:t>
      </w:r>
      <w:r w:rsidRPr="00F23EA4">
        <w:rPr>
          <w:sz w:val="21"/>
          <w:szCs w:val="21"/>
        </w:rPr>
        <w:t xml:space="preserve"> ont été conçus pour </w:t>
      </w:r>
      <w:r w:rsidR="00E8037F" w:rsidRPr="00F23EA4">
        <w:rPr>
          <w:sz w:val="21"/>
          <w:szCs w:val="21"/>
        </w:rPr>
        <w:t>y inclure</w:t>
      </w:r>
      <w:r w:rsidRPr="00F23EA4">
        <w:rPr>
          <w:sz w:val="21"/>
          <w:szCs w:val="21"/>
        </w:rPr>
        <w:t xml:space="preserve"> : </w:t>
      </w:r>
    </w:p>
    <w:p w:rsidR="00197CA1" w:rsidRPr="00F23EA4" w:rsidRDefault="00E8037F">
      <w:pPr>
        <w:pStyle w:val="Paragraphedeliste"/>
        <w:numPr>
          <w:ilvl w:val="0"/>
          <w:numId w:val="7"/>
        </w:numPr>
        <w:jc w:val="both"/>
        <w:rPr>
          <w:sz w:val="21"/>
          <w:szCs w:val="21"/>
        </w:rPr>
      </w:pPr>
      <w:r w:rsidRPr="00F23EA4">
        <w:rPr>
          <w:b/>
          <w:sz w:val="21"/>
          <w:szCs w:val="21"/>
        </w:rPr>
        <w:t>U</w:t>
      </w:r>
      <w:r w:rsidR="00364EDB" w:rsidRPr="00F23EA4">
        <w:rPr>
          <w:b/>
          <w:sz w:val="21"/>
          <w:szCs w:val="21"/>
        </w:rPr>
        <w:t>n plan d'urgence</w:t>
      </w:r>
      <w:r w:rsidR="00506E79" w:rsidRPr="00F23EA4">
        <w:rPr>
          <w:sz w:val="21"/>
          <w:szCs w:val="21"/>
        </w:rPr>
        <w:t xml:space="preserve"> au cas où un indice</w:t>
      </w:r>
      <w:r w:rsidR="00364EDB" w:rsidRPr="00F23EA4">
        <w:rPr>
          <w:sz w:val="21"/>
          <w:szCs w:val="21"/>
        </w:rPr>
        <w:t xml:space="preserve"> de référence n'est soudainement plus disponible (c'est-à-dire qu'il cesse d'être publié ou mis à la disposition du public) ou qu'un administrateur ou un agent de calcul s'arrête soudainement pour administrer ou calculer l'un de s</w:t>
      </w:r>
      <w:r w:rsidR="00506E79" w:rsidRPr="00F23EA4">
        <w:rPr>
          <w:sz w:val="21"/>
          <w:szCs w:val="21"/>
        </w:rPr>
        <w:t>es indices</w:t>
      </w:r>
      <w:r w:rsidR="00364EDB" w:rsidRPr="00F23EA4">
        <w:rPr>
          <w:sz w:val="21"/>
          <w:szCs w:val="21"/>
        </w:rPr>
        <w:t xml:space="preserve"> de référence ; </w:t>
      </w:r>
    </w:p>
    <w:p w:rsidR="00197CA1" w:rsidRPr="00F23EA4" w:rsidRDefault="00E8037F">
      <w:pPr>
        <w:pStyle w:val="Paragraphedeliste"/>
        <w:numPr>
          <w:ilvl w:val="0"/>
          <w:numId w:val="7"/>
        </w:numPr>
        <w:jc w:val="both"/>
        <w:rPr>
          <w:sz w:val="21"/>
          <w:szCs w:val="21"/>
        </w:rPr>
      </w:pPr>
      <w:r w:rsidRPr="00F23EA4">
        <w:rPr>
          <w:b/>
          <w:sz w:val="21"/>
          <w:szCs w:val="21"/>
        </w:rPr>
        <w:t>U</w:t>
      </w:r>
      <w:r w:rsidR="00364EDB" w:rsidRPr="00F23EA4">
        <w:rPr>
          <w:b/>
          <w:sz w:val="21"/>
          <w:szCs w:val="21"/>
        </w:rPr>
        <w:t>n plan à moyen et à long terme</w:t>
      </w:r>
      <w:r w:rsidR="00364EDB" w:rsidRPr="00F23EA4">
        <w:rPr>
          <w:sz w:val="21"/>
          <w:szCs w:val="21"/>
        </w:rPr>
        <w:t xml:space="preserve"> préparant une feuille de route de transition lorsque le changement</w:t>
      </w:r>
      <w:r w:rsidR="00506E79" w:rsidRPr="00F23EA4">
        <w:rPr>
          <w:sz w:val="21"/>
          <w:szCs w:val="21"/>
        </w:rPr>
        <w:t xml:space="preserve"> ou la cessation d'un indice</w:t>
      </w:r>
      <w:r w:rsidR="00364EDB" w:rsidRPr="00F23EA4">
        <w:rPr>
          <w:sz w:val="21"/>
          <w:szCs w:val="21"/>
        </w:rPr>
        <w:t xml:space="preserve"> de référence est connu bien à l'avance.</w:t>
      </w:r>
    </w:p>
    <w:p w:rsidR="00197CA1" w:rsidRPr="00F23EA4" w:rsidRDefault="00364EDB">
      <w:pPr>
        <w:jc w:val="both"/>
        <w:rPr>
          <w:sz w:val="21"/>
          <w:szCs w:val="21"/>
        </w:rPr>
      </w:pPr>
      <w:r w:rsidRPr="00F23EA4">
        <w:rPr>
          <w:sz w:val="21"/>
          <w:szCs w:val="21"/>
        </w:rPr>
        <w:t>Ces plans fon</w:t>
      </w:r>
      <w:r w:rsidR="003F7DB8" w:rsidRPr="00F23EA4">
        <w:rPr>
          <w:sz w:val="21"/>
          <w:szCs w:val="21"/>
        </w:rPr>
        <w:t>t référence à la façon dont le G</w:t>
      </w:r>
      <w:r w:rsidRPr="00F23EA4">
        <w:rPr>
          <w:sz w:val="21"/>
          <w:szCs w:val="21"/>
        </w:rPr>
        <w:t>roupe CAL&amp;F surveille ces événements potentiels afin de lancer ces plans dès qu'un événement se produit et est détecté.</w:t>
      </w:r>
      <w:r w:rsidR="00707839" w:rsidRPr="00F23EA4">
        <w:rPr>
          <w:sz w:val="21"/>
          <w:szCs w:val="21"/>
        </w:rPr>
        <w:t xml:space="preserve"> </w:t>
      </w:r>
      <w:r w:rsidRPr="00F23EA4">
        <w:rPr>
          <w:sz w:val="21"/>
          <w:szCs w:val="21"/>
        </w:rPr>
        <w:t xml:space="preserve">En outre, une liste d'actions importantes à prendre en compte dans ces plans a également été établie et comprend les points suivants : </w:t>
      </w:r>
    </w:p>
    <w:p w:rsidR="00197CA1" w:rsidRPr="00F23EA4" w:rsidRDefault="0080742E" w:rsidP="00707839">
      <w:pPr>
        <w:pStyle w:val="Paragraphedeliste"/>
        <w:numPr>
          <w:ilvl w:val="0"/>
          <w:numId w:val="3"/>
        </w:numPr>
        <w:spacing w:after="0"/>
        <w:jc w:val="both"/>
        <w:rPr>
          <w:sz w:val="21"/>
          <w:szCs w:val="21"/>
        </w:rPr>
      </w:pPr>
      <w:r w:rsidRPr="00F23EA4">
        <w:rPr>
          <w:sz w:val="21"/>
          <w:szCs w:val="21"/>
        </w:rPr>
        <w:t>U</w:t>
      </w:r>
      <w:r w:rsidR="00FB1C21" w:rsidRPr="00F23EA4">
        <w:rPr>
          <w:sz w:val="21"/>
          <w:szCs w:val="21"/>
        </w:rPr>
        <w:t>n état des lieux</w:t>
      </w:r>
      <w:r w:rsidR="00364EDB" w:rsidRPr="00F23EA4">
        <w:rPr>
          <w:sz w:val="21"/>
          <w:szCs w:val="21"/>
        </w:rPr>
        <w:t xml:space="preserve"> des positions/expositions pour déterminer les impacts d'un tel événement et évaluer les conséquences ainsi que les priorités les plus élevées, analyser la documentation et les produits existants,</w:t>
      </w:r>
    </w:p>
    <w:p w:rsidR="00197CA1" w:rsidRPr="00F23EA4" w:rsidRDefault="0080742E" w:rsidP="00707839">
      <w:pPr>
        <w:pStyle w:val="Paragraphedeliste"/>
        <w:numPr>
          <w:ilvl w:val="0"/>
          <w:numId w:val="3"/>
        </w:numPr>
        <w:jc w:val="both"/>
        <w:rPr>
          <w:sz w:val="21"/>
          <w:szCs w:val="21"/>
        </w:rPr>
      </w:pPr>
      <w:r w:rsidRPr="00F23EA4">
        <w:rPr>
          <w:sz w:val="21"/>
          <w:szCs w:val="21"/>
        </w:rPr>
        <w:t>C</w:t>
      </w:r>
      <w:r w:rsidR="00364EDB" w:rsidRPr="00F23EA4">
        <w:rPr>
          <w:sz w:val="21"/>
          <w:szCs w:val="21"/>
        </w:rPr>
        <w:t>onfor</w:t>
      </w:r>
      <w:r w:rsidR="005F6452" w:rsidRPr="00F23EA4">
        <w:rPr>
          <w:sz w:val="21"/>
          <w:szCs w:val="21"/>
        </w:rPr>
        <w:t>mément aux clauses de fallback</w:t>
      </w:r>
      <w:r w:rsidR="003F7DB8" w:rsidRPr="00F23EA4">
        <w:rPr>
          <w:sz w:val="21"/>
          <w:szCs w:val="21"/>
        </w:rPr>
        <w:t>, le G</w:t>
      </w:r>
      <w:r w:rsidR="00364EDB" w:rsidRPr="00F23EA4">
        <w:rPr>
          <w:sz w:val="21"/>
          <w:szCs w:val="21"/>
        </w:rPr>
        <w:t>roupe CAL&amp;F communiquera, proposera et acceptera avec le cli</w:t>
      </w:r>
      <w:r w:rsidR="003F7DB8" w:rsidRPr="00F23EA4">
        <w:rPr>
          <w:sz w:val="21"/>
          <w:szCs w:val="21"/>
        </w:rPr>
        <w:t>ent une alternative d'indice</w:t>
      </w:r>
      <w:r w:rsidR="00364EDB" w:rsidRPr="00F23EA4">
        <w:rPr>
          <w:sz w:val="21"/>
          <w:szCs w:val="21"/>
        </w:rPr>
        <w:t xml:space="preserve"> de référence durable si cela est techniquement possible,</w:t>
      </w:r>
    </w:p>
    <w:p w:rsidR="00197CA1" w:rsidRPr="00F23EA4" w:rsidRDefault="0080742E" w:rsidP="00707839">
      <w:pPr>
        <w:pStyle w:val="Paragraphedeliste"/>
        <w:numPr>
          <w:ilvl w:val="0"/>
          <w:numId w:val="3"/>
        </w:numPr>
        <w:jc w:val="both"/>
        <w:rPr>
          <w:sz w:val="21"/>
          <w:szCs w:val="21"/>
        </w:rPr>
      </w:pPr>
      <w:r w:rsidRPr="00F23EA4">
        <w:rPr>
          <w:sz w:val="21"/>
          <w:szCs w:val="21"/>
        </w:rPr>
        <w:t>L</w:t>
      </w:r>
      <w:r w:rsidR="003F7DB8" w:rsidRPr="00F23EA4">
        <w:rPr>
          <w:sz w:val="21"/>
          <w:szCs w:val="21"/>
        </w:rPr>
        <w:t xml:space="preserve">e Groupe </w:t>
      </w:r>
      <w:r w:rsidR="00364EDB" w:rsidRPr="00F23EA4">
        <w:rPr>
          <w:sz w:val="21"/>
          <w:szCs w:val="21"/>
        </w:rPr>
        <w:t>CAL&amp;F peut se concentrer principalement sur ses principaux risques et ses clients plus sensibles (Factoring Business),</w:t>
      </w:r>
    </w:p>
    <w:p w:rsidR="00197CA1" w:rsidRPr="00F23EA4" w:rsidRDefault="0080742E" w:rsidP="00707839">
      <w:pPr>
        <w:pStyle w:val="Paragraphedeliste"/>
        <w:numPr>
          <w:ilvl w:val="0"/>
          <w:numId w:val="3"/>
        </w:numPr>
        <w:spacing w:after="0"/>
        <w:jc w:val="both"/>
        <w:rPr>
          <w:sz w:val="21"/>
          <w:szCs w:val="21"/>
        </w:rPr>
      </w:pPr>
      <w:r w:rsidRPr="00F23EA4">
        <w:rPr>
          <w:sz w:val="21"/>
          <w:szCs w:val="21"/>
        </w:rPr>
        <w:t>E</w:t>
      </w:r>
      <w:r w:rsidR="003F7DB8" w:rsidRPr="00F23EA4">
        <w:rPr>
          <w:sz w:val="21"/>
          <w:szCs w:val="21"/>
        </w:rPr>
        <w:t>n fonction du type d’indice</w:t>
      </w:r>
      <w:r w:rsidR="00364EDB" w:rsidRPr="00F23EA4">
        <w:rPr>
          <w:sz w:val="21"/>
          <w:szCs w:val="21"/>
        </w:rPr>
        <w:t xml:space="preserve"> de référence (critique, signi</w:t>
      </w:r>
      <w:r w:rsidR="003F7DB8" w:rsidRPr="00F23EA4">
        <w:rPr>
          <w:sz w:val="21"/>
          <w:szCs w:val="21"/>
        </w:rPr>
        <w:t>ficatif, non significatif), le G</w:t>
      </w:r>
      <w:r w:rsidR="00364EDB" w:rsidRPr="00F23EA4">
        <w:rPr>
          <w:sz w:val="21"/>
          <w:szCs w:val="21"/>
        </w:rPr>
        <w:t>roupe CAL&amp;F assure la liaison avec l’association ou le groupe de travail probant afin de rechercher des orientations et un résultat unique pour éviter toute fragmentation du marché.</w:t>
      </w:r>
    </w:p>
    <w:p w:rsidR="003E7997" w:rsidRPr="00F23EA4" w:rsidRDefault="003E7997" w:rsidP="00216FE4">
      <w:pPr>
        <w:jc w:val="both"/>
        <w:rPr>
          <w:sz w:val="21"/>
          <w:szCs w:val="21"/>
        </w:rPr>
      </w:pPr>
    </w:p>
    <w:p w:rsidR="00197CA1" w:rsidRPr="00D9577B" w:rsidRDefault="00364EDB">
      <w:pPr>
        <w:jc w:val="both"/>
        <w:rPr>
          <w:sz w:val="21"/>
          <w:szCs w:val="21"/>
        </w:rPr>
      </w:pPr>
      <w:r w:rsidRPr="00F23EA4">
        <w:rPr>
          <w:sz w:val="21"/>
          <w:szCs w:val="21"/>
        </w:rPr>
        <w:t xml:space="preserve">Une matrice d'attribution des responsabilités et un processus d'escalade ont également été mis en place pour décrire la participation des divers </w:t>
      </w:r>
      <w:r w:rsidR="003F7DB8" w:rsidRPr="00F23EA4">
        <w:rPr>
          <w:sz w:val="21"/>
          <w:szCs w:val="21"/>
        </w:rPr>
        <w:t>départements</w:t>
      </w:r>
      <w:r w:rsidR="00033C1C" w:rsidRPr="00F23EA4">
        <w:rPr>
          <w:sz w:val="21"/>
          <w:szCs w:val="21"/>
        </w:rPr>
        <w:t xml:space="preserve"> </w:t>
      </w:r>
      <w:r w:rsidRPr="00F23EA4">
        <w:rPr>
          <w:sz w:val="21"/>
          <w:szCs w:val="21"/>
        </w:rPr>
        <w:t>du Groupe CAL&amp;F à la gestion et à la participation à ces plans aussi rapidement et efficacement que possible. Pour rappel, cette publication ne fournit que des renseignements généraux sur ces questions potentielles et les obligations réglementaires. Le Groupe CAL&amp;F assure la maintenance et la mise à jour interne de</w:t>
      </w:r>
      <w:r w:rsidR="003F7DB8" w:rsidRPr="00F23EA4">
        <w:rPr>
          <w:sz w:val="21"/>
          <w:szCs w:val="21"/>
        </w:rPr>
        <w:t>s</w:t>
      </w:r>
      <w:r w:rsidRPr="00F23EA4">
        <w:rPr>
          <w:sz w:val="21"/>
          <w:szCs w:val="21"/>
        </w:rPr>
        <w:t xml:space="preserve"> plans </w:t>
      </w:r>
      <w:r w:rsidR="003F7DB8" w:rsidRPr="00F23EA4">
        <w:rPr>
          <w:sz w:val="21"/>
          <w:szCs w:val="21"/>
        </w:rPr>
        <w:t>de contingence</w:t>
      </w:r>
      <w:r w:rsidRPr="00F23EA4">
        <w:rPr>
          <w:sz w:val="21"/>
          <w:szCs w:val="21"/>
        </w:rPr>
        <w:t xml:space="preserve"> écrits plus détaillés et plus robustes.</w:t>
      </w:r>
      <w:r w:rsidR="00707839" w:rsidRPr="00F23EA4">
        <w:rPr>
          <w:sz w:val="21"/>
          <w:szCs w:val="21"/>
        </w:rPr>
        <w:t xml:space="preserve"> </w:t>
      </w:r>
      <w:r w:rsidRPr="00F23EA4">
        <w:rPr>
          <w:sz w:val="21"/>
          <w:szCs w:val="21"/>
        </w:rPr>
        <w:t>Cette publication et les plans internes peuvent également faire l'objet de mises à jour sans préavis, en particulier dans le cas où le règlement changerait ou dans tout autre cas où des ajustements devront être envisagés.</w:t>
      </w:r>
      <w:r>
        <w:rPr>
          <w:sz w:val="21"/>
          <w:szCs w:val="21"/>
        </w:rPr>
        <w:t xml:space="preserve">  </w:t>
      </w:r>
    </w:p>
    <w:sectPr w:rsidR="00197CA1" w:rsidRPr="00D9577B" w:rsidSect="003E7997">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91" w:rsidRDefault="00747B91">
      <w:pPr>
        <w:spacing w:after="0" w:line="240" w:lineRule="auto"/>
      </w:pPr>
      <w:r>
        <w:separator/>
      </w:r>
    </w:p>
  </w:endnote>
  <w:endnote w:type="continuationSeparator" w:id="0">
    <w:p w:rsidR="00747B91" w:rsidRDefault="0074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89218"/>
      <w:docPartObj>
        <w:docPartGallery w:val="Page Numbers (Bottom of Page)"/>
        <w:docPartUnique/>
      </w:docPartObj>
    </w:sdtPr>
    <w:sdtEndPr>
      <w:rPr>
        <w:color w:val="808080" w:themeColor="background1" w:themeShade="80"/>
        <w:spacing w:val="60"/>
      </w:rPr>
    </w:sdtEndPr>
    <w:sdtContent>
      <w:p w:rsidR="00197CA1" w:rsidRDefault="00364EDB">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F23EA4" w:rsidRPr="00F23EA4">
          <w:rPr>
            <w:b/>
            <w:bCs/>
            <w:noProof/>
          </w:rPr>
          <w:t>1</w:t>
        </w:r>
        <w:r>
          <w:rPr>
            <w:b/>
            <w:bCs/>
            <w:noProof/>
          </w:rPr>
          <w:fldChar w:fldCharType="end"/>
        </w:r>
        <w:r>
          <w:rPr>
            <w:b/>
            <w:bCs/>
          </w:rPr>
          <w:t xml:space="preserve"> | </w:t>
        </w:r>
        <w:r>
          <w:rPr>
            <w:color w:val="808080" w:themeColor="background1" w:themeShade="80"/>
            <w:spacing w:val="60"/>
          </w:rPr>
          <w:t>Page</w:t>
        </w:r>
      </w:p>
    </w:sdtContent>
  </w:sdt>
  <w:p w:rsidR="00103587" w:rsidRDefault="001035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91" w:rsidRDefault="00747B91">
      <w:pPr>
        <w:spacing w:after="0" w:line="240" w:lineRule="auto"/>
      </w:pPr>
      <w:r>
        <w:separator/>
      </w:r>
    </w:p>
  </w:footnote>
  <w:footnote w:type="continuationSeparator" w:id="0">
    <w:p w:rsidR="00747B91" w:rsidRDefault="00747B91">
      <w:pPr>
        <w:spacing w:after="0" w:line="240" w:lineRule="auto"/>
      </w:pPr>
      <w:r>
        <w:continuationSeparator/>
      </w:r>
    </w:p>
  </w:footnote>
  <w:footnote w:id="1">
    <w:p w:rsidR="00197CA1" w:rsidRPr="00E74E47" w:rsidRDefault="00364EDB" w:rsidP="00E74E47">
      <w:pPr>
        <w:autoSpaceDE w:val="0"/>
        <w:autoSpaceDN w:val="0"/>
        <w:adjustRightInd w:val="0"/>
        <w:spacing w:after="0" w:line="240" w:lineRule="auto"/>
        <w:jc w:val="both"/>
        <w:rPr>
          <w:i/>
          <w:sz w:val="18"/>
          <w:szCs w:val="18"/>
        </w:rPr>
      </w:pPr>
      <w:bookmarkStart w:id="0" w:name="_GoBack"/>
      <w:bookmarkEnd w:id="0"/>
      <w:r w:rsidRPr="00F23EA4">
        <w:rPr>
          <w:rStyle w:val="Appelnotedebasdep"/>
          <w:sz w:val="18"/>
          <w:szCs w:val="18"/>
        </w:rPr>
        <w:footnoteRef/>
      </w:r>
      <w:r w:rsidRPr="00F23EA4">
        <w:rPr>
          <w:sz w:val="18"/>
          <w:szCs w:val="18"/>
        </w:rPr>
        <w:t xml:space="preserve"> "</w:t>
      </w:r>
      <w:r w:rsidR="00E74E47" w:rsidRPr="00F23EA4">
        <w:rPr>
          <w:i/>
          <w:sz w:val="18"/>
          <w:szCs w:val="18"/>
        </w:rPr>
        <w:t>Les entités surveillées, autres qu'un administrateur visé au paragraphe 1, qui utilisent un indice de référence établissent et tiennent à jour des plans écrits solides décrivant les mesures qu'elles prendraient si cet indice de référence subissait des modifications substantielles ou cessait d'être fourni. Lorsque cela est faisable et approprié, ces plans désignent un ou plusieurs autres indices de référence susceptibles de servir de référence en substitution des indices de référence qui ne sont plus fournis, et indiquent en quoi ces indices de référence constitueraient des substituts appropriés. Les entités surveillées communiquent sur demande ces plans ainsi que toute mise à jour de ces derniers à l'autorité compétente concernée et les répercutent dans la relation contractuelle avec leurs clients.</w:t>
      </w:r>
      <w:r w:rsidRPr="00F23EA4">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38A"/>
    <w:multiLevelType w:val="hybridMultilevel"/>
    <w:tmpl w:val="C67ADBA0"/>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43A58"/>
    <w:multiLevelType w:val="hybridMultilevel"/>
    <w:tmpl w:val="E39ED826"/>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A59FB"/>
    <w:multiLevelType w:val="hybridMultilevel"/>
    <w:tmpl w:val="DC44D570"/>
    <w:lvl w:ilvl="0" w:tplc="B68815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1679"/>
    <w:multiLevelType w:val="hybridMultilevel"/>
    <w:tmpl w:val="1D025CFA"/>
    <w:lvl w:ilvl="0" w:tplc="A5485A3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A5DFD"/>
    <w:multiLevelType w:val="hybridMultilevel"/>
    <w:tmpl w:val="AB0C897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36B82"/>
    <w:multiLevelType w:val="hybridMultilevel"/>
    <w:tmpl w:val="54A2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222B5"/>
    <w:multiLevelType w:val="hybridMultilevel"/>
    <w:tmpl w:val="69FA0F8C"/>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DD3CF7"/>
    <w:multiLevelType w:val="hybridMultilevel"/>
    <w:tmpl w:val="EF4CF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AA6047"/>
    <w:multiLevelType w:val="hybridMultilevel"/>
    <w:tmpl w:val="A434D9F8"/>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A13BA3"/>
    <w:multiLevelType w:val="hybridMultilevel"/>
    <w:tmpl w:val="9BCEDE92"/>
    <w:lvl w:ilvl="0" w:tplc="B49C5B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236951"/>
    <w:multiLevelType w:val="hybridMultilevel"/>
    <w:tmpl w:val="24F8B25A"/>
    <w:lvl w:ilvl="0" w:tplc="F218180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FC2615"/>
    <w:multiLevelType w:val="hybridMultilevel"/>
    <w:tmpl w:val="552E1A26"/>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987A87"/>
    <w:multiLevelType w:val="hybridMultilevel"/>
    <w:tmpl w:val="BE7E9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DF78F4"/>
    <w:multiLevelType w:val="hybridMultilevel"/>
    <w:tmpl w:val="B810F584"/>
    <w:lvl w:ilvl="0" w:tplc="AA1EB42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9"/>
  </w:num>
  <w:num w:numId="5">
    <w:abstractNumId w:val="13"/>
  </w:num>
  <w:num w:numId="6">
    <w:abstractNumId w:val="2"/>
  </w:num>
  <w:num w:numId="7">
    <w:abstractNumId w:val="5"/>
  </w:num>
  <w:num w:numId="8">
    <w:abstractNumId w:val="4"/>
  </w:num>
  <w:num w:numId="9">
    <w:abstractNumId w:val="11"/>
  </w:num>
  <w:num w:numId="10">
    <w:abstractNumId w:val="0"/>
  </w:num>
  <w:num w:numId="11">
    <w:abstractNumId w:val="8"/>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85"/>
    <w:rsid w:val="00011595"/>
    <w:rsid w:val="000144E0"/>
    <w:rsid w:val="00033C1C"/>
    <w:rsid w:val="0005384F"/>
    <w:rsid w:val="00066E7E"/>
    <w:rsid w:val="00087305"/>
    <w:rsid w:val="000B4C3F"/>
    <w:rsid w:val="000B6690"/>
    <w:rsid w:val="000D4B8A"/>
    <w:rsid w:val="000F08E0"/>
    <w:rsid w:val="00103587"/>
    <w:rsid w:val="001306BC"/>
    <w:rsid w:val="00140384"/>
    <w:rsid w:val="00147060"/>
    <w:rsid w:val="001521F9"/>
    <w:rsid w:val="00184189"/>
    <w:rsid w:val="00190BDC"/>
    <w:rsid w:val="00197CA1"/>
    <w:rsid w:val="001A3E13"/>
    <w:rsid w:val="001A79B0"/>
    <w:rsid w:val="001B4D79"/>
    <w:rsid w:val="001B50BA"/>
    <w:rsid w:val="001C101B"/>
    <w:rsid w:val="001C2B89"/>
    <w:rsid w:val="001D4655"/>
    <w:rsid w:val="001E1C08"/>
    <w:rsid w:val="001F5870"/>
    <w:rsid w:val="00203CAF"/>
    <w:rsid w:val="00204BE0"/>
    <w:rsid w:val="00206A7A"/>
    <w:rsid w:val="00216E8B"/>
    <w:rsid w:val="00216FE4"/>
    <w:rsid w:val="00222E68"/>
    <w:rsid w:val="002326F3"/>
    <w:rsid w:val="00234F55"/>
    <w:rsid w:val="0024072F"/>
    <w:rsid w:val="002867F3"/>
    <w:rsid w:val="00294D94"/>
    <w:rsid w:val="002A02BB"/>
    <w:rsid w:val="002C030B"/>
    <w:rsid w:val="002C3FB1"/>
    <w:rsid w:val="002D6113"/>
    <w:rsid w:val="002F06A4"/>
    <w:rsid w:val="002F1D99"/>
    <w:rsid w:val="003038CA"/>
    <w:rsid w:val="00305665"/>
    <w:rsid w:val="00317597"/>
    <w:rsid w:val="00321DA1"/>
    <w:rsid w:val="00322405"/>
    <w:rsid w:val="003226C8"/>
    <w:rsid w:val="003309E0"/>
    <w:rsid w:val="00337CF9"/>
    <w:rsid w:val="003467A5"/>
    <w:rsid w:val="00357571"/>
    <w:rsid w:val="0036273E"/>
    <w:rsid w:val="003632CA"/>
    <w:rsid w:val="00364EDB"/>
    <w:rsid w:val="003761CD"/>
    <w:rsid w:val="003A3813"/>
    <w:rsid w:val="003B641F"/>
    <w:rsid w:val="003C0FEB"/>
    <w:rsid w:val="003C27CB"/>
    <w:rsid w:val="003D4AEB"/>
    <w:rsid w:val="003D60F3"/>
    <w:rsid w:val="003E0E9F"/>
    <w:rsid w:val="003E7997"/>
    <w:rsid w:val="003F0C40"/>
    <w:rsid w:val="003F2012"/>
    <w:rsid w:val="003F7334"/>
    <w:rsid w:val="003F7DB8"/>
    <w:rsid w:val="0040044F"/>
    <w:rsid w:val="00406ED9"/>
    <w:rsid w:val="00407E77"/>
    <w:rsid w:val="00413A7B"/>
    <w:rsid w:val="004247DE"/>
    <w:rsid w:val="00437CEE"/>
    <w:rsid w:val="00450117"/>
    <w:rsid w:val="004547AA"/>
    <w:rsid w:val="00476234"/>
    <w:rsid w:val="00482C91"/>
    <w:rsid w:val="004A6FBB"/>
    <w:rsid w:val="004B09A8"/>
    <w:rsid w:val="004B1204"/>
    <w:rsid w:val="00500ED3"/>
    <w:rsid w:val="005051FB"/>
    <w:rsid w:val="00506E79"/>
    <w:rsid w:val="00530DB0"/>
    <w:rsid w:val="00531E86"/>
    <w:rsid w:val="00536CDE"/>
    <w:rsid w:val="00547EFB"/>
    <w:rsid w:val="00575C08"/>
    <w:rsid w:val="00582EA3"/>
    <w:rsid w:val="005964B4"/>
    <w:rsid w:val="005A106A"/>
    <w:rsid w:val="005A6EDC"/>
    <w:rsid w:val="005A72ED"/>
    <w:rsid w:val="005D28F2"/>
    <w:rsid w:val="005E0DDF"/>
    <w:rsid w:val="005F6452"/>
    <w:rsid w:val="006046A2"/>
    <w:rsid w:val="00642233"/>
    <w:rsid w:val="0065033C"/>
    <w:rsid w:val="0066392F"/>
    <w:rsid w:val="00665840"/>
    <w:rsid w:val="00665B11"/>
    <w:rsid w:val="00676532"/>
    <w:rsid w:val="00681B07"/>
    <w:rsid w:val="00690922"/>
    <w:rsid w:val="00697BED"/>
    <w:rsid w:val="00697D3A"/>
    <w:rsid w:val="006A7A97"/>
    <w:rsid w:val="006B41D4"/>
    <w:rsid w:val="006D2847"/>
    <w:rsid w:val="006E245F"/>
    <w:rsid w:val="006E438C"/>
    <w:rsid w:val="00707839"/>
    <w:rsid w:val="00716460"/>
    <w:rsid w:val="00730542"/>
    <w:rsid w:val="0073385D"/>
    <w:rsid w:val="00747B91"/>
    <w:rsid w:val="0076120D"/>
    <w:rsid w:val="007616A2"/>
    <w:rsid w:val="00773532"/>
    <w:rsid w:val="007737AA"/>
    <w:rsid w:val="00774150"/>
    <w:rsid w:val="007774E8"/>
    <w:rsid w:val="007933B7"/>
    <w:rsid w:val="007A1F42"/>
    <w:rsid w:val="007C0D97"/>
    <w:rsid w:val="007C1908"/>
    <w:rsid w:val="007D58E8"/>
    <w:rsid w:val="0080742E"/>
    <w:rsid w:val="00825F10"/>
    <w:rsid w:val="0083094B"/>
    <w:rsid w:val="0083490A"/>
    <w:rsid w:val="00836D23"/>
    <w:rsid w:val="008B1987"/>
    <w:rsid w:val="008C1CD3"/>
    <w:rsid w:val="008C3F71"/>
    <w:rsid w:val="008E207A"/>
    <w:rsid w:val="009135E3"/>
    <w:rsid w:val="00923C35"/>
    <w:rsid w:val="00927C04"/>
    <w:rsid w:val="0093044B"/>
    <w:rsid w:val="00930B93"/>
    <w:rsid w:val="0093304E"/>
    <w:rsid w:val="00936022"/>
    <w:rsid w:val="0096061D"/>
    <w:rsid w:val="00980E07"/>
    <w:rsid w:val="0098758D"/>
    <w:rsid w:val="00990A2C"/>
    <w:rsid w:val="009A19D8"/>
    <w:rsid w:val="009B2159"/>
    <w:rsid w:val="009B6CA4"/>
    <w:rsid w:val="009C0041"/>
    <w:rsid w:val="009C0C42"/>
    <w:rsid w:val="009E43FB"/>
    <w:rsid w:val="00A0085E"/>
    <w:rsid w:val="00A310ED"/>
    <w:rsid w:val="00A41B2B"/>
    <w:rsid w:val="00A41EA6"/>
    <w:rsid w:val="00A53B95"/>
    <w:rsid w:val="00A70FBA"/>
    <w:rsid w:val="00A760A5"/>
    <w:rsid w:val="00A90541"/>
    <w:rsid w:val="00A9186E"/>
    <w:rsid w:val="00A96A4B"/>
    <w:rsid w:val="00AA0718"/>
    <w:rsid w:val="00AA6388"/>
    <w:rsid w:val="00AD544F"/>
    <w:rsid w:val="00AD6F39"/>
    <w:rsid w:val="00AF160A"/>
    <w:rsid w:val="00B0191E"/>
    <w:rsid w:val="00B03037"/>
    <w:rsid w:val="00B07725"/>
    <w:rsid w:val="00B12B85"/>
    <w:rsid w:val="00B607C6"/>
    <w:rsid w:val="00B62ACD"/>
    <w:rsid w:val="00B7381C"/>
    <w:rsid w:val="00B92DA9"/>
    <w:rsid w:val="00B9506C"/>
    <w:rsid w:val="00BC018E"/>
    <w:rsid w:val="00BC6C4E"/>
    <w:rsid w:val="00BD2414"/>
    <w:rsid w:val="00BD2550"/>
    <w:rsid w:val="00C06B4F"/>
    <w:rsid w:val="00C166A8"/>
    <w:rsid w:val="00C41AA1"/>
    <w:rsid w:val="00C42825"/>
    <w:rsid w:val="00C532E0"/>
    <w:rsid w:val="00C56B99"/>
    <w:rsid w:val="00C6765C"/>
    <w:rsid w:val="00C76F0F"/>
    <w:rsid w:val="00C90E41"/>
    <w:rsid w:val="00C9709A"/>
    <w:rsid w:val="00CC5E32"/>
    <w:rsid w:val="00CD5073"/>
    <w:rsid w:val="00D00FCE"/>
    <w:rsid w:val="00D33F7C"/>
    <w:rsid w:val="00D65450"/>
    <w:rsid w:val="00D65915"/>
    <w:rsid w:val="00D72FB5"/>
    <w:rsid w:val="00D87784"/>
    <w:rsid w:val="00D90775"/>
    <w:rsid w:val="00D9577B"/>
    <w:rsid w:val="00DB2F8D"/>
    <w:rsid w:val="00DF7578"/>
    <w:rsid w:val="00E174E1"/>
    <w:rsid w:val="00E1769A"/>
    <w:rsid w:val="00E45F64"/>
    <w:rsid w:val="00E50AE0"/>
    <w:rsid w:val="00E5587E"/>
    <w:rsid w:val="00E56562"/>
    <w:rsid w:val="00E64CCA"/>
    <w:rsid w:val="00E72956"/>
    <w:rsid w:val="00E74E47"/>
    <w:rsid w:val="00E8037F"/>
    <w:rsid w:val="00E8781B"/>
    <w:rsid w:val="00EA7662"/>
    <w:rsid w:val="00EB646F"/>
    <w:rsid w:val="00EC5AF6"/>
    <w:rsid w:val="00ED172C"/>
    <w:rsid w:val="00ED349B"/>
    <w:rsid w:val="00ED77C6"/>
    <w:rsid w:val="00EE5AE8"/>
    <w:rsid w:val="00EF14AD"/>
    <w:rsid w:val="00EF1D49"/>
    <w:rsid w:val="00F15AEC"/>
    <w:rsid w:val="00F15BB2"/>
    <w:rsid w:val="00F23EA4"/>
    <w:rsid w:val="00F347BA"/>
    <w:rsid w:val="00F46EF3"/>
    <w:rsid w:val="00F53032"/>
    <w:rsid w:val="00F65DE2"/>
    <w:rsid w:val="00F75156"/>
    <w:rsid w:val="00F77F48"/>
    <w:rsid w:val="00FB1C21"/>
    <w:rsid w:val="00FB2A8D"/>
    <w:rsid w:val="00FD35DF"/>
    <w:rsid w:val="00FD3A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803FA"/>
  <w15:docId w15:val="{88D257E4-EE3B-4559-B7ED-4A3B50E0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A02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65B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EA3"/>
    <w:pPr>
      <w:ind w:left="720"/>
      <w:contextualSpacing/>
    </w:pPr>
  </w:style>
  <w:style w:type="paragraph" w:styleId="Titre">
    <w:name w:val="Title"/>
    <w:basedOn w:val="Normal"/>
    <w:next w:val="Normal"/>
    <w:link w:val="TitreCar"/>
    <w:uiPriority w:val="10"/>
    <w:qFormat/>
    <w:rsid w:val="002A02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02B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A02BB"/>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2A02BB"/>
    <w:pPr>
      <w:numPr>
        <w:ilvl w:val="1"/>
      </w:numPr>
    </w:pPr>
    <w:rPr>
      <w:color w:val="5A5A5A" w:themeColor="text1" w:themeTint="A5"/>
      <w:spacing w:val="15"/>
    </w:rPr>
  </w:style>
  <w:style w:type="character" w:customStyle="1" w:styleId="Sous-titreCar">
    <w:name w:val="Sous-titre Car"/>
    <w:basedOn w:val="Policepardfaut"/>
    <w:link w:val="Sous-titre"/>
    <w:uiPriority w:val="11"/>
    <w:rsid w:val="002A02BB"/>
    <w:rPr>
      <w:color w:val="5A5A5A" w:themeColor="text1" w:themeTint="A5"/>
      <w:spacing w:val="15"/>
    </w:rPr>
  </w:style>
  <w:style w:type="paragraph" w:styleId="Textedebulles">
    <w:name w:val="Balloon Text"/>
    <w:basedOn w:val="Normal"/>
    <w:link w:val="TextedebullesCar"/>
    <w:uiPriority w:val="99"/>
    <w:semiHidden/>
    <w:unhideWhenUsed/>
    <w:rsid w:val="00482C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C91"/>
    <w:rPr>
      <w:rFonts w:ascii="Segoe UI" w:hAnsi="Segoe UI" w:cs="Segoe UI"/>
      <w:sz w:val="18"/>
      <w:szCs w:val="18"/>
    </w:rPr>
  </w:style>
  <w:style w:type="paragraph" w:styleId="Notedebasdepage">
    <w:name w:val="footnote text"/>
    <w:basedOn w:val="Normal"/>
    <w:link w:val="NotedebasdepageCar"/>
    <w:uiPriority w:val="99"/>
    <w:semiHidden/>
    <w:unhideWhenUsed/>
    <w:rsid w:val="00E729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2956"/>
    <w:rPr>
      <w:sz w:val="20"/>
      <w:szCs w:val="20"/>
    </w:rPr>
  </w:style>
  <w:style w:type="character" w:styleId="Appelnotedebasdep">
    <w:name w:val="footnote reference"/>
    <w:basedOn w:val="Policepardfaut"/>
    <w:uiPriority w:val="99"/>
    <w:semiHidden/>
    <w:unhideWhenUsed/>
    <w:rsid w:val="00E72956"/>
    <w:rPr>
      <w:vertAlign w:val="superscript"/>
    </w:rPr>
  </w:style>
  <w:style w:type="character" w:styleId="Lienhypertexte">
    <w:name w:val="Hyperlink"/>
    <w:basedOn w:val="Policepardfaut"/>
    <w:uiPriority w:val="99"/>
    <w:unhideWhenUsed/>
    <w:rsid w:val="00C56B99"/>
    <w:rPr>
      <w:color w:val="0563C1" w:themeColor="hyperlink"/>
      <w:u w:val="single"/>
    </w:rPr>
  </w:style>
  <w:style w:type="character" w:customStyle="1" w:styleId="Titre2Car">
    <w:name w:val="Titre 2 Car"/>
    <w:basedOn w:val="Policepardfaut"/>
    <w:link w:val="Titre2"/>
    <w:uiPriority w:val="9"/>
    <w:semiHidden/>
    <w:rsid w:val="00665B11"/>
    <w:rPr>
      <w:rFonts w:asciiTheme="majorHAnsi" w:eastAsiaTheme="majorEastAsia" w:hAnsiTheme="majorHAnsi" w:cstheme="majorBidi"/>
      <w:b/>
      <w:bCs/>
      <w:color w:val="5B9BD5" w:themeColor="accent1"/>
      <w:sz w:val="26"/>
      <w:szCs w:val="26"/>
    </w:rPr>
  </w:style>
  <w:style w:type="character" w:styleId="Emphaseintense">
    <w:name w:val="Intense Emphasis"/>
    <w:basedOn w:val="Policepardfaut"/>
    <w:uiPriority w:val="21"/>
    <w:qFormat/>
    <w:rsid w:val="00665B11"/>
    <w:rPr>
      <w:i/>
      <w:iCs/>
      <w:color w:val="5B9BD5" w:themeColor="accent1"/>
    </w:rPr>
  </w:style>
  <w:style w:type="character" w:styleId="Marquedecommentaire">
    <w:name w:val="annotation reference"/>
    <w:basedOn w:val="Policepardfaut"/>
    <w:uiPriority w:val="99"/>
    <w:semiHidden/>
    <w:unhideWhenUsed/>
    <w:rsid w:val="001A79B0"/>
    <w:rPr>
      <w:sz w:val="16"/>
      <w:szCs w:val="16"/>
    </w:rPr>
  </w:style>
  <w:style w:type="paragraph" w:styleId="Commentaire">
    <w:name w:val="annotation text"/>
    <w:basedOn w:val="Normal"/>
    <w:link w:val="CommentaireCar"/>
    <w:uiPriority w:val="99"/>
    <w:semiHidden/>
    <w:unhideWhenUsed/>
    <w:rsid w:val="001A79B0"/>
    <w:pPr>
      <w:spacing w:line="240" w:lineRule="auto"/>
    </w:pPr>
    <w:rPr>
      <w:sz w:val="20"/>
      <w:szCs w:val="20"/>
    </w:rPr>
  </w:style>
  <w:style w:type="character" w:customStyle="1" w:styleId="CommentaireCar">
    <w:name w:val="Commentaire Car"/>
    <w:basedOn w:val="Policepardfaut"/>
    <w:link w:val="Commentaire"/>
    <w:uiPriority w:val="99"/>
    <w:semiHidden/>
    <w:rsid w:val="001A79B0"/>
    <w:rPr>
      <w:sz w:val="20"/>
      <w:szCs w:val="20"/>
    </w:rPr>
  </w:style>
  <w:style w:type="paragraph" w:styleId="Objetducommentaire">
    <w:name w:val="annotation subject"/>
    <w:basedOn w:val="Commentaire"/>
    <w:next w:val="Commentaire"/>
    <w:link w:val="ObjetducommentaireCar"/>
    <w:uiPriority w:val="99"/>
    <w:semiHidden/>
    <w:unhideWhenUsed/>
    <w:rsid w:val="001A79B0"/>
    <w:rPr>
      <w:b/>
      <w:bCs/>
    </w:rPr>
  </w:style>
  <w:style w:type="character" w:customStyle="1" w:styleId="ObjetducommentaireCar">
    <w:name w:val="Objet du commentaire Car"/>
    <w:basedOn w:val="CommentaireCar"/>
    <w:link w:val="Objetducommentaire"/>
    <w:uiPriority w:val="99"/>
    <w:semiHidden/>
    <w:rsid w:val="001A79B0"/>
    <w:rPr>
      <w:b/>
      <w:bCs/>
      <w:sz w:val="20"/>
      <w:szCs w:val="20"/>
    </w:rPr>
  </w:style>
  <w:style w:type="paragraph" w:styleId="En-ttedetabledesmatires">
    <w:name w:val="TOC Heading"/>
    <w:basedOn w:val="Titre1"/>
    <w:next w:val="Normal"/>
    <w:uiPriority w:val="39"/>
    <w:unhideWhenUsed/>
    <w:qFormat/>
    <w:rsid w:val="00E1769A"/>
    <w:pPr>
      <w:spacing w:before="480" w:line="276" w:lineRule="auto"/>
      <w:outlineLvl w:val="9"/>
    </w:pPr>
    <w:rPr>
      <w:b/>
      <w:bCs/>
      <w:sz w:val="28"/>
      <w:szCs w:val="28"/>
      <w:lang w:val="en-US"/>
    </w:rPr>
  </w:style>
  <w:style w:type="paragraph" w:styleId="TM1">
    <w:name w:val="toc 1"/>
    <w:basedOn w:val="Normal"/>
    <w:next w:val="Normal"/>
    <w:autoRedefine/>
    <w:uiPriority w:val="39"/>
    <w:unhideWhenUsed/>
    <w:rsid w:val="0096061D"/>
    <w:pPr>
      <w:tabs>
        <w:tab w:val="right" w:leader="dot" w:pos="10456"/>
      </w:tabs>
      <w:spacing w:after="100"/>
    </w:pPr>
    <w:rPr>
      <w:b/>
      <w:noProof/>
      <w:sz w:val="28"/>
      <w:szCs w:val="28"/>
      <w:lang w:val="en-US"/>
    </w:rPr>
  </w:style>
  <w:style w:type="paragraph" w:styleId="En-tte">
    <w:name w:val="header"/>
    <w:basedOn w:val="Normal"/>
    <w:link w:val="En-tteCar"/>
    <w:uiPriority w:val="99"/>
    <w:unhideWhenUsed/>
    <w:rsid w:val="00A310ED"/>
    <w:pPr>
      <w:tabs>
        <w:tab w:val="center" w:pos="4703"/>
        <w:tab w:val="right" w:pos="9406"/>
      </w:tabs>
      <w:spacing w:after="0" w:line="240" w:lineRule="auto"/>
    </w:pPr>
  </w:style>
  <w:style w:type="character" w:customStyle="1" w:styleId="En-tteCar">
    <w:name w:val="En-tête Car"/>
    <w:basedOn w:val="Policepardfaut"/>
    <w:link w:val="En-tte"/>
    <w:uiPriority w:val="99"/>
    <w:rsid w:val="00A310ED"/>
  </w:style>
  <w:style w:type="paragraph" w:styleId="Pieddepage">
    <w:name w:val="footer"/>
    <w:basedOn w:val="Normal"/>
    <w:link w:val="PieddepageCar"/>
    <w:uiPriority w:val="99"/>
    <w:unhideWhenUsed/>
    <w:rsid w:val="00A310E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310ED"/>
  </w:style>
  <w:style w:type="character" w:styleId="Lienhypertextesuivivisit">
    <w:name w:val="FollowedHyperlink"/>
    <w:basedOn w:val="Policepardfaut"/>
    <w:uiPriority w:val="99"/>
    <w:semiHidden/>
    <w:unhideWhenUsed/>
    <w:rsid w:val="00406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939598">
      <w:bodyDiv w:val="1"/>
      <w:marLeft w:val="0"/>
      <w:marRight w:val="0"/>
      <w:marTop w:val="0"/>
      <w:marBottom w:val="0"/>
      <w:divBdr>
        <w:top w:val="none" w:sz="0" w:space="0" w:color="auto"/>
        <w:left w:val="none" w:sz="0" w:space="0" w:color="auto"/>
        <w:bottom w:val="none" w:sz="0" w:space="0" w:color="auto"/>
        <w:right w:val="none" w:sz="0" w:space="0" w:color="auto"/>
      </w:divBdr>
    </w:div>
    <w:div w:id="17093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DE99DE7C64442991AED6EC439746D" ma:contentTypeVersion="0" ma:contentTypeDescription="Crée un document." ma:contentTypeScope="" ma:versionID="1f359be39c639649049aeb6a21113ff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1666-081E-4105-A2EB-9ED18C210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8CC9F-1F2D-4187-9BC4-63CA34B4BC58}">
  <ds:schemaRefs>
    <ds:schemaRef ds:uri="http://schemas.microsoft.com/sharepoint/v3/contenttype/forms"/>
  </ds:schemaRefs>
</ds:datastoreItem>
</file>

<file path=customXml/itemProps3.xml><?xml version="1.0" encoding="utf-8"?>
<ds:datastoreItem xmlns:ds="http://schemas.openxmlformats.org/officeDocument/2006/customXml" ds:itemID="{2F3FA1CB-22B4-4120-9E97-8B265D7F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FF928B-001C-45A3-9339-BEF65E6C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CA-CIB</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 MINASSIAN, Maya (CA-CIB)</dc:creator>
  <cp:lastModifiedBy>Ghozayel Tarek</cp:lastModifiedBy>
  <cp:revision>39</cp:revision>
  <cp:lastPrinted>2019-07-15T07:45:00Z</cp:lastPrinted>
  <dcterms:created xsi:type="dcterms:W3CDTF">2020-04-17T07:20:00Z</dcterms:created>
  <dcterms:modified xsi:type="dcterms:W3CDTF">2021-12-21T16:24:00Z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0x010100D79DE99DE7C64442991AED6EC439746D</vt:lpwstr>
  </property>
  <property fmtid="{D5CDD505-2E9C-101B-9397-08002B2CF9AE}" pid="3" name="MSIP_Label_5575590c-269f-4124-b0f8-2fb2473b0712_Enabled">
    <vt:lpwstr>true</vt:lpwstr>
  </property>
  <property fmtid="{D5CDD505-2E9C-101B-9397-08002B2CF9AE}" pid="4" name="MSIP_Label_5575590c-269f-4124-b0f8-2fb2473b0712_SetDate">
    <vt:lpwstr>2021-12-13T14:41:19Z</vt:lpwstr>
  </property>
  <property fmtid="{D5CDD505-2E9C-101B-9397-08002B2CF9AE}" pid="5" name="MSIP_Label_5575590c-269f-4124-b0f8-2fb2473b0712_Method">
    <vt:lpwstr>Privileged</vt:lpwstr>
  </property>
  <property fmtid="{D5CDD505-2E9C-101B-9397-08002B2CF9AE}" pid="6" name="MSIP_Label_5575590c-269f-4124-b0f8-2fb2473b0712_Name">
    <vt:lpwstr>Public</vt:lpwstr>
  </property>
  <property fmtid="{D5CDD505-2E9C-101B-9397-08002B2CF9AE}" pid="7" name="MSIP_Label_5575590c-269f-4124-b0f8-2fb2473b0712_SiteId">
    <vt:lpwstr>fb3baf17-c313-474c-8d5d-577a3ec97a32</vt:lpwstr>
  </property>
  <property fmtid="{D5CDD505-2E9C-101B-9397-08002B2CF9AE}" pid="8" name="MSIP_Label_5575590c-269f-4124-b0f8-2fb2473b0712_ActionId">
    <vt:lpwstr>0b19cd5c-3cde-42aa-8207-8b744d5ede5c</vt:lpwstr>
  </property>
  <property fmtid="{D5CDD505-2E9C-101B-9397-08002B2CF9AE}" pid="9" name="MSIP_Label_5575590c-269f-4124-b0f8-2fb2473b0712_ContentBits">
    <vt:lpwstr>0</vt:lpwstr>
  </property>
</Properties>
</file>